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F4" w:rsidRPr="007F7465" w:rsidRDefault="000062F4" w:rsidP="000062F4">
      <w:pPr>
        <w:spacing w:before="39"/>
        <w:ind w:left="1344" w:right="1349" w:firstLine="1"/>
        <w:contextualSpacing/>
        <w:jc w:val="center"/>
        <w:rPr>
          <w:rFonts w:eastAsia="Calibri"/>
          <w:b/>
          <w:i/>
          <w:sz w:val="28"/>
          <w:szCs w:val="28"/>
          <w:lang w:val="el-GR"/>
        </w:rPr>
      </w:pPr>
      <w:r w:rsidRPr="007F7465">
        <w:rPr>
          <w:rFonts w:eastAsia="Calibri"/>
          <w:b/>
          <w:i/>
          <w:sz w:val="28"/>
          <w:szCs w:val="28"/>
          <w:lang w:val="el-GR"/>
        </w:rPr>
        <w:t>Ε</w:t>
      </w:r>
      <w:r>
        <w:rPr>
          <w:rFonts w:eastAsia="Calibri"/>
          <w:b/>
          <w:i/>
          <w:sz w:val="28"/>
          <w:szCs w:val="28"/>
          <w:lang w:val="el-GR"/>
        </w:rPr>
        <w:t>νημερωτικό</w:t>
      </w:r>
      <w:r w:rsidRPr="007F7465">
        <w:rPr>
          <w:rFonts w:eastAsia="Calibri"/>
          <w:b/>
          <w:i/>
          <w:spacing w:val="-12"/>
          <w:sz w:val="28"/>
          <w:szCs w:val="28"/>
          <w:lang w:val="el-GR"/>
        </w:rPr>
        <w:t xml:space="preserve"> </w:t>
      </w:r>
      <w:r>
        <w:rPr>
          <w:rFonts w:eastAsia="Calibri"/>
          <w:b/>
          <w:i/>
          <w:spacing w:val="2"/>
          <w:sz w:val="28"/>
          <w:szCs w:val="28"/>
          <w:lang w:val="el-GR"/>
        </w:rPr>
        <w:t xml:space="preserve">του αιρετού </w:t>
      </w:r>
      <w:r>
        <w:rPr>
          <w:rFonts w:eastAsia="Calibri"/>
          <w:b/>
          <w:i/>
          <w:spacing w:val="-1"/>
          <w:sz w:val="28"/>
          <w:szCs w:val="28"/>
          <w:lang w:val="el-GR"/>
        </w:rPr>
        <w:t xml:space="preserve">στο </w:t>
      </w:r>
      <w:r w:rsidRPr="007F7465">
        <w:rPr>
          <w:rFonts w:eastAsia="Calibri"/>
          <w:b/>
          <w:i/>
          <w:spacing w:val="-3"/>
          <w:sz w:val="28"/>
          <w:szCs w:val="28"/>
          <w:lang w:val="el-GR"/>
        </w:rPr>
        <w:t xml:space="preserve"> </w:t>
      </w:r>
      <w:r w:rsidRPr="007F7465">
        <w:rPr>
          <w:rFonts w:eastAsia="Calibri"/>
          <w:b/>
          <w:i/>
          <w:sz w:val="28"/>
          <w:szCs w:val="28"/>
          <w:lang w:val="el-GR"/>
        </w:rPr>
        <w:t>Κ</w:t>
      </w:r>
      <w:r w:rsidRPr="007F7465">
        <w:rPr>
          <w:rFonts w:eastAsia="Calibri"/>
          <w:b/>
          <w:i/>
          <w:spacing w:val="2"/>
          <w:sz w:val="28"/>
          <w:szCs w:val="28"/>
          <w:lang w:val="el-GR"/>
        </w:rPr>
        <w:t>Υ</w:t>
      </w:r>
      <w:r w:rsidRPr="007F7465">
        <w:rPr>
          <w:rFonts w:eastAsia="Calibri"/>
          <w:b/>
          <w:i/>
          <w:spacing w:val="-1"/>
          <w:sz w:val="28"/>
          <w:szCs w:val="28"/>
          <w:lang w:val="el-GR"/>
        </w:rPr>
        <w:t>Σ</w:t>
      </w:r>
      <w:r w:rsidRPr="007F7465">
        <w:rPr>
          <w:rFonts w:eastAsia="Calibri"/>
          <w:b/>
          <w:i/>
          <w:sz w:val="28"/>
          <w:szCs w:val="28"/>
          <w:lang w:val="el-GR"/>
        </w:rPr>
        <w:t>ΔΕ</w:t>
      </w:r>
    </w:p>
    <w:p w:rsidR="000062F4" w:rsidRDefault="000062F4" w:rsidP="000062F4">
      <w:pPr>
        <w:tabs>
          <w:tab w:val="left" w:pos="9900"/>
        </w:tabs>
        <w:spacing w:before="39"/>
        <w:ind w:left="1344" w:right="980" w:hanging="1444"/>
        <w:contextualSpacing/>
        <w:jc w:val="center"/>
        <w:rPr>
          <w:rFonts w:eastAsia="Calibri"/>
          <w:b/>
          <w:i/>
          <w:sz w:val="28"/>
          <w:szCs w:val="28"/>
          <w:lang w:val="el-GR"/>
        </w:rPr>
      </w:pPr>
      <w:r>
        <w:rPr>
          <w:rFonts w:eastAsia="Calibri"/>
          <w:b/>
          <w:i/>
          <w:sz w:val="28"/>
          <w:szCs w:val="28"/>
          <w:lang w:val="el-GR"/>
        </w:rPr>
        <w:t xml:space="preserve">                Θοδωρή </w:t>
      </w:r>
      <w:proofErr w:type="spellStart"/>
      <w:r>
        <w:rPr>
          <w:rFonts w:eastAsia="Calibri"/>
          <w:b/>
          <w:i/>
          <w:sz w:val="28"/>
          <w:szCs w:val="28"/>
          <w:lang w:val="el-GR"/>
        </w:rPr>
        <w:t>Κατσωνόπουλου</w:t>
      </w:r>
      <w:proofErr w:type="spellEnd"/>
    </w:p>
    <w:p w:rsidR="000062F4" w:rsidRDefault="000062F4" w:rsidP="000062F4">
      <w:pPr>
        <w:tabs>
          <w:tab w:val="left" w:pos="9900"/>
        </w:tabs>
        <w:spacing w:before="39"/>
        <w:ind w:left="1344" w:right="980" w:hanging="1444"/>
        <w:contextualSpacing/>
        <w:jc w:val="center"/>
        <w:rPr>
          <w:rFonts w:eastAsia="Calibri"/>
          <w:b/>
          <w:i/>
          <w:sz w:val="28"/>
          <w:szCs w:val="28"/>
          <w:lang w:val="el-GR"/>
        </w:rPr>
      </w:pPr>
      <w:r>
        <w:rPr>
          <w:rFonts w:eastAsia="Calibri"/>
          <w:b/>
          <w:i/>
          <w:sz w:val="28"/>
          <w:szCs w:val="28"/>
          <w:lang w:val="el-GR"/>
        </w:rPr>
        <w:t xml:space="preserve">                 εκλεγμένου με τις ΣΥΝ.Ε.Κ.</w:t>
      </w:r>
    </w:p>
    <w:p w:rsidR="000062F4" w:rsidRDefault="000062F4" w:rsidP="000062F4">
      <w:pPr>
        <w:tabs>
          <w:tab w:val="left" w:pos="9900"/>
        </w:tabs>
        <w:spacing w:before="39"/>
        <w:ind w:left="1344" w:right="980" w:hanging="1444"/>
        <w:contextualSpacing/>
        <w:jc w:val="center"/>
        <w:rPr>
          <w:rFonts w:eastAsia="Calibri"/>
          <w:b/>
          <w:i/>
          <w:sz w:val="28"/>
          <w:szCs w:val="28"/>
          <w:lang w:val="el-GR"/>
        </w:rPr>
      </w:pPr>
      <w:r>
        <w:rPr>
          <w:rFonts w:eastAsia="Calibri"/>
          <w:b/>
          <w:i/>
          <w:sz w:val="28"/>
          <w:szCs w:val="28"/>
          <w:lang w:val="el-GR"/>
        </w:rPr>
        <w:t xml:space="preserve">              </w:t>
      </w:r>
    </w:p>
    <w:p w:rsidR="000062F4" w:rsidRPr="00DA0B3E" w:rsidRDefault="000062F4" w:rsidP="000062F4">
      <w:pPr>
        <w:tabs>
          <w:tab w:val="left" w:pos="9900"/>
        </w:tabs>
        <w:spacing w:before="39"/>
        <w:ind w:right="980"/>
        <w:contextualSpacing/>
        <w:rPr>
          <w:rFonts w:eastAsia="Calibri"/>
          <w:b/>
          <w:i/>
          <w:sz w:val="28"/>
          <w:szCs w:val="28"/>
          <w:lang w:val="el-GR"/>
        </w:rPr>
      </w:pPr>
    </w:p>
    <w:p w:rsidR="00B847FE" w:rsidRPr="004B26B9" w:rsidRDefault="00B847FE" w:rsidP="00B847FE">
      <w:pPr>
        <w:spacing w:line="360" w:lineRule="auto"/>
        <w:ind w:left="624" w:firstLine="720"/>
        <w:jc w:val="both"/>
        <w:rPr>
          <w:b/>
          <w:sz w:val="32"/>
          <w:szCs w:val="32"/>
          <w:lang w:val="el-GR" w:eastAsia="el-GR"/>
        </w:rPr>
      </w:pPr>
      <w:r>
        <w:rPr>
          <w:b/>
          <w:sz w:val="28"/>
          <w:szCs w:val="28"/>
          <w:lang w:val="el-GR" w:eastAsia="el-GR"/>
        </w:rPr>
        <w:t xml:space="preserve">  </w:t>
      </w:r>
      <w:r w:rsidRPr="004B26B9">
        <w:rPr>
          <w:b/>
          <w:sz w:val="32"/>
          <w:szCs w:val="32"/>
          <w:lang w:val="el-GR" w:eastAsia="el-GR"/>
        </w:rPr>
        <w:t>ΜΕΤΑΘΕΣΕΙΣ ΔΕΥΤΕΡΟΒΑΘΜΙΑΣ ΕΚΠΑΙΔΕΥΣΗΣ</w:t>
      </w:r>
    </w:p>
    <w:p w:rsidR="005F1256" w:rsidRPr="005F1256" w:rsidRDefault="00B847FE" w:rsidP="005F1256">
      <w:pPr>
        <w:spacing w:line="360" w:lineRule="auto"/>
        <w:rPr>
          <w:b/>
          <w:i/>
          <w:sz w:val="28"/>
          <w:szCs w:val="28"/>
          <w:lang w:val="el-GR" w:eastAsia="el-GR"/>
        </w:rPr>
      </w:pPr>
      <w:r w:rsidRPr="005F1256">
        <w:rPr>
          <w:b/>
          <w:i/>
          <w:sz w:val="28"/>
          <w:szCs w:val="28"/>
          <w:lang w:val="el-GR" w:eastAsia="el-GR"/>
        </w:rPr>
        <w:t xml:space="preserve">Αριθμητικά δεδομένα </w:t>
      </w:r>
      <w:r w:rsidR="00531C0E">
        <w:rPr>
          <w:b/>
          <w:i/>
          <w:sz w:val="28"/>
          <w:szCs w:val="28"/>
          <w:lang w:val="el-GR" w:eastAsia="el-GR"/>
        </w:rPr>
        <w:t xml:space="preserve">σχετικά με τις αιτήσεις μετάθεσης                                   </w:t>
      </w:r>
      <w:r w:rsidRPr="005F1256">
        <w:rPr>
          <w:b/>
          <w:i/>
          <w:sz w:val="28"/>
          <w:szCs w:val="28"/>
          <w:lang w:val="el-GR" w:eastAsia="el-GR"/>
        </w:rPr>
        <w:t xml:space="preserve">(κατά κλάδο/ειδικότητα) </w:t>
      </w:r>
    </w:p>
    <w:p w:rsidR="005F1256" w:rsidRPr="005F1256" w:rsidRDefault="005F1256" w:rsidP="005F1256">
      <w:pPr>
        <w:spacing w:line="360" w:lineRule="auto"/>
        <w:rPr>
          <w:sz w:val="24"/>
          <w:szCs w:val="24"/>
          <w:lang w:val="el-GR" w:eastAsia="el-GR"/>
        </w:rPr>
      </w:pPr>
      <w:r w:rsidRPr="005F1256">
        <w:rPr>
          <w:sz w:val="24"/>
          <w:szCs w:val="24"/>
          <w:lang w:val="el-GR" w:eastAsia="el-GR"/>
        </w:rPr>
        <w:t xml:space="preserve">Συνάδελφοι, </w:t>
      </w:r>
      <w:proofErr w:type="spellStart"/>
      <w:r w:rsidRPr="005F1256">
        <w:rPr>
          <w:sz w:val="24"/>
          <w:szCs w:val="24"/>
          <w:lang w:val="el-GR" w:eastAsia="el-GR"/>
        </w:rPr>
        <w:t>συναδέλφισσες</w:t>
      </w:r>
      <w:proofErr w:type="spellEnd"/>
      <w:r w:rsidRPr="005F1256">
        <w:rPr>
          <w:sz w:val="24"/>
          <w:szCs w:val="24"/>
          <w:lang w:val="el-GR" w:eastAsia="el-GR"/>
        </w:rPr>
        <w:t xml:space="preserve">, </w:t>
      </w:r>
    </w:p>
    <w:p w:rsidR="00B847FE" w:rsidRPr="005F1256" w:rsidRDefault="005F1256" w:rsidP="005F1256">
      <w:pPr>
        <w:spacing w:line="360" w:lineRule="auto"/>
        <w:rPr>
          <w:b/>
          <w:i/>
          <w:sz w:val="28"/>
          <w:szCs w:val="28"/>
          <w:lang w:val="el-GR" w:eastAsia="el-GR"/>
        </w:rPr>
      </w:pPr>
      <w:r w:rsidRPr="005F1256">
        <w:rPr>
          <w:sz w:val="24"/>
          <w:szCs w:val="24"/>
          <w:lang w:val="el-GR" w:eastAsia="el-GR"/>
        </w:rPr>
        <w:t xml:space="preserve">Σας ενημερώνω ότι </w:t>
      </w:r>
      <w:r>
        <w:rPr>
          <w:b/>
          <w:sz w:val="24"/>
          <w:szCs w:val="24"/>
          <w:lang w:val="el-GR" w:eastAsia="el-GR"/>
        </w:rPr>
        <w:t xml:space="preserve">το </w:t>
      </w:r>
      <w:r w:rsidR="00B847FE" w:rsidRPr="005F1256">
        <w:rPr>
          <w:b/>
          <w:sz w:val="24"/>
          <w:szCs w:val="24"/>
          <w:lang w:val="el-GR" w:eastAsia="el-GR"/>
        </w:rPr>
        <w:t>σύνολο των αιτήσεων μετάθεσης</w:t>
      </w:r>
      <w:r w:rsidR="00B847FE" w:rsidRPr="005F1256">
        <w:rPr>
          <w:sz w:val="24"/>
          <w:szCs w:val="24"/>
          <w:lang w:val="el-GR" w:eastAsia="el-GR"/>
        </w:rPr>
        <w:t xml:space="preserve"> εκπαιδευτικών για το έτος 2025 στη Δευτεροβάθμια Εκπαίδευση είναι </w:t>
      </w:r>
      <w:r w:rsidR="00B847FE" w:rsidRPr="005F1256">
        <w:rPr>
          <w:b/>
          <w:sz w:val="24"/>
          <w:szCs w:val="24"/>
          <w:lang w:val="el-GR" w:eastAsia="el-GR"/>
        </w:rPr>
        <w:t>5.552.</w:t>
      </w:r>
      <w:r w:rsidR="00B847FE" w:rsidRPr="005F1256">
        <w:rPr>
          <w:sz w:val="24"/>
          <w:szCs w:val="24"/>
          <w:lang w:val="el-GR" w:eastAsia="el-GR"/>
        </w:rPr>
        <w:t xml:space="preserve"> Υποβλήθηκαν </w:t>
      </w:r>
      <w:r w:rsidR="00B847FE" w:rsidRPr="005F1256">
        <w:rPr>
          <w:b/>
          <w:sz w:val="24"/>
          <w:szCs w:val="24"/>
          <w:lang w:val="el-GR" w:eastAsia="el-GR"/>
        </w:rPr>
        <w:t>4.197 αιτήσεις στη Γενική Εκπαίδευση</w:t>
      </w:r>
      <w:r w:rsidR="00B847FE" w:rsidRPr="005F1256">
        <w:rPr>
          <w:sz w:val="24"/>
          <w:szCs w:val="24"/>
          <w:lang w:val="el-GR" w:eastAsia="el-GR"/>
        </w:rPr>
        <w:t xml:space="preserve"> (από περιοχή σε περιοχή), </w:t>
      </w:r>
      <w:r w:rsidR="00B847FE" w:rsidRPr="005F1256">
        <w:rPr>
          <w:b/>
          <w:sz w:val="24"/>
          <w:szCs w:val="24"/>
          <w:lang w:val="el-GR" w:eastAsia="el-GR"/>
        </w:rPr>
        <w:t>562 σε ΣΜΕΑΕ συν 87 σε Τυφλών Κωφών</w:t>
      </w:r>
      <w:r w:rsidR="00B847FE" w:rsidRPr="005F1256">
        <w:rPr>
          <w:sz w:val="24"/>
          <w:szCs w:val="24"/>
          <w:lang w:val="el-GR" w:eastAsia="el-GR"/>
        </w:rPr>
        <w:t xml:space="preserve"> (σε περιοχές μετάθεσης για την ΕΑΕ) και </w:t>
      </w:r>
      <w:r w:rsidR="00B847FE" w:rsidRPr="005F1256">
        <w:rPr>
          <w:b/>
          <w:sz w:val="24"/>
          <w:szCs w:val="24"/>
          <w:lang w:val="el-GR" w:eastAsia="el-GR"/>
        </w:rPr>
        <w:t>192 σε ΚΕΔΑΣΥ</w:t>
      </w:r>
      <w:r w:rsidR="00B847FE" w:rsidRPr="005F1256">
        <w:rPr>
          <w:sz w:val="24"/>
          <w:szCs w:val="24"/>
          <w:lang w:val="el-GR" w:eastAsia="el-GR"/>
        </w:rPr>
        <w:t>.</w:t>
      </w:r>
      <w:r w:rsidRPr="005F1256">
        <w:rPr>
          <w:sz w:val="24"/>
          <w:szCs w:val="24"/>
          <w:lang w:val="el-GR" w:eastAsia="el-GR"/>
        </w:rPr>
        <w:t xml:space="preserve"> </w:t>
      </w:r>
      <w:r w:rsidR="00B847FE" w:rsidRPr="005F1256">
        <w:rPr>
          <w:sz w:val="24"/>
          <w:szCs w:val="24"/>
          <w:lang w:val="el-GR" w:eastAsia="el-GR"/>
        </w:rPr>
        <w:t xml:space="preserve">Υποβλήθηκαν και έχουν ήδη εξεταστεί από το ΚΥΣΔΕ (συνεδριάσεις 20 &amp; 21/02/2025), </w:t>
      </w:r>
      <w:r w:rsidR="00B847FE" w:rsidRPr="005F1256">
        <w:rPr>
          <w:b/>
          <w:sz w:val="24"/>
          <w:szCs w:val="24"/>
          <w:lang w:val="el-GR" w:eastAsia="el-GR"/>
        </w:rPr>
        <w:t>390 αιτήσεις μετάθεσης εκπαιδευτικών σε Μουσικά, 82 σε Καλλιτεχνικά και 42 σε Διαπολιτισμικά Σχολεία</w:t>
      </w:r>
      <w:r w:rsidR="00B847FE" w:rsidRPr="005F1256">
        <w:rPr>
          <w:sz w:val="24"/>
          <w:szCs w:val="24"/>
          <w:lang w:val="el-GR" w:eastAsia="el-GR"/>
        </w:rPr>
        <w:t xml:space="preserve">. </w:t>
      </w:r>
      <w:r>
        <w:rPr>
          <w:sz w:val="24"/>
          <w:szCs w:val="24"/>
          <w:lang w:val="el-GR" w:eastAsia="el-GR"/>
        </w:rPr>
        <w:t>Στο τέλος του ενημερωτικού, π</w:t>
      </w:r>
      <w:r w:rsidR="00B847FE" w:rsidRPr="005F1256">
        <w:rPr>
          <w:sz w:val="24"/>
          <w:szCs w:val="24"/>
          <w:lang w:val="el-GR" w:eastAsia="el-GR"/>
        </w:rPr>
        <w:t>αρατίθενται αναλυτικά, κατά κλάδο/ειδικότητα, ο αριθμός των αιτήσεων που έχουν υποβληθεί σε Γενική, ΣΜΕΑΕ, Τυφλών Κωφών και ΚΕΔΑΣΥ.</w:t>
      </w:r>
    </w:p>
    <w:p w:rsidR="005F1256" w:rsidRPr="004B26B9" w:rsidRDefault="005F1256" w:rsidP="005F1256">
      <w:pPr>
        <w:spacing w:line="360" w:lineRule="auto"/>
        <w:jc w:val="both"/>
        <w:rPr>
          <w:b/>
          <w:i/>
          <w:sz w:val="28"/>
          <w:szCs w:val="28"/>
          <w:lang w:val="el-GR" w:eastAsia="el-GR"/>
        </w:rPr>
      </w:pPr>
      <w:r w:rsidRPr="004B26B9">
        <w:rPr>
          <w:b/>
          <w:i/>
          <w:sz w:val="28"/>
          <w:szCs w:val="28"/>
          <w:lang w:val="el-GR" w:eastAsia="el-GR"/>
        </w:rPr>
        <w:t xml:space="preserve">Ενδεικτικό χρονοδιάγραμμα συνεδριάσεων ΚΥΣΔΕ για τις μεταθέσεις </w:t>
      </w:r>
    </w:p>
    <w:p w:rsidR="005F1256" w:rsidRPr="005F1256" w:rsidRDefault="005F1256" w:rsidP="005F1256">
      <w:pPr>
        <w:spacing w:line="360" w:lineRule="auto"/>
        <w:jc w:val="both"/>
        <w:rPr>
          <w:i/>
          <w:sz w:val="24"/>
          <w:szCs w:val="24"/>
          <w:lang w:val="el-GR" w:eastAsia="el-GR"/>
        </w:rPr>
      </w:pPr>
      <w:r>
        <w:rPr>
          <w:sz w:val="24"/>
          <w:szCs w:val="24"/>
          <w:lang w:val="el-GR" w:eastAsia="el-GR"/>
        </w:rPr>
        <w:t xml:space="preserve">Εντός της εβδομάδας (24-28/02) </w:t>
      </w:r>
      <w:r w:rsidRPr="004B26B9">
        <w:rPr>
          <w:sz w:val="24"/>
          <w:szCs w:val="24"/>
          <w:lang w:val="el-GR" w:eastAsia="el-GR"/>
        </w:rPr>
        <w:t xml:space="preserve">αναμένεται η έκδοση των εγκυκλίων προσδιορισμού των κενών οργανικών θέσεων και πλεονασμάτων εκπαιδευτικού προσωπικού Δευτεροβάθμιας Εκπαίδευσης για τις μεταθέσεις από περιοχή σε περιοχή, στα ΚΕΔΑΣΥ και στις ΣΜΕΑΕ. Οι εγκύκλιοι είναι προς υπουργική υπογραφή. </w:t>
      </w:r>
      <w:r>
        <w:rPr>
          <w:rStyle w:val="a4"/>
          <w:i w:val="0"/>
          <w:sz w:val="24"/>
          <w:szCs w:val="24"/>
          <w:lang w:val="el-GR"/>
        </w:rPr>
        <w:t>Δεν αναμένεται καμία θετική αλλαγή με βάση τις θέσεις του κλάδου και μάλιστα η</w:t>
      </w:r>
      <w:r w:rsidRPr="00691D88">
        <w:rPr>
          <w:rStyle w:val="a4"/>
          <w:i w:val="0"/>
          <w:sz w:val="24"/>
          <w:szCs w:val="24"/>
          <w:lang w:val="el-GR"/>
        </w:rPr>
        <w:t xml:space="preserve"> μετατροπή </w:t>
      </w:r>
      <w:r w:rsidRPr="00691D88">
        <w:rPr>
          <w:rStyle w:val="a4"/>
          <w:i w:val="0"/>
          <w:sz w:val="24"/>
          <w:szCs w:val="24"/>
        </w:rPr>
        <w:t> </w:t>
      </w:r>
      <w:r>
        <w:rPr>
          <w:rStyle w:val="a4"/>
          <w:i w:val="0"/>
          <w:sz w:val="24"/>
          <w:szCs w:val="24"/>
          <w:lang w:val="el-GR"/>
        </w:rPr>
        <w:t>των έξι (</w:t>
      </w:r>
      <w:r w:rsidRPr="00691D88">
        <w:rPr>
          <w:rStyle w:val="a4"/>
          <w:i w:val="0"/>
          <w:sz w:val="24"/>
          <w:szCs w:val="24"/>
          <w:lang w:val="el-GR"/>
        </w:rPr>
        <w:t>6</w:t>
      </w:r>
      <w:r>
        <w:rPr>
          <w:rStyle w:val="a4"/>
          <w:i w:val="0"/>
          <w:sz w:val="24"/>
          <w:szCs w:val="24"/>
          <w:lang w:val="el-GR"/>
        </w:rPr>
        <w:t>)</w:t>
      </w:r>
      <w:r w:rsidRPr="00691D88">
        <w:rPr>
          <w:rStyle w:val="a4"/>
          <w:i w:val="0"/>
          <w:sz w:val="24"/>
          <w:szCs w:val="24"/>
          <w:lang w:val="el-GR"/>
        </w:rPr>
        <w:t xml:space="preserve"> Γυμνασίων και </w:t>
      </w:r>
      <w:r>
        <w:rPr>
          <w:rStyle w:val="a4"/>
          <w:i w:val="0"/>
          <w:sz w:val="24"/>
          <w:szCs w:val="24"/>
          <w:lang w:val="el-GR"/>
        </w:rPr>
        <w:t>έξι (</w:t>
      </w:r>
      <w:r w:rsidRPr="00691D88">
        <w:rPr>
          <w:rStyle w:val="a4"/>
          <w:i w:val="0"/>
          <w:sz w:val="24"/>
          <w:szCs w:val="24"/>
          <w:lang w:val="el-GR"/>
        </w:rPr>
        <w:t>6</w:t>
      </w:r>
      <w:r>
        <w:rPr>
          <w:rStyle w:val="a4"/>
          <w:i w:val="0"/>
          <w:sz w:val="24"/>
          <w:szCs w:val="24"/>
          <w:lang w:val="el-GR"/>
        </w:rPr>
        <w:t>)</w:t>
      </w:r>
      <w:r w:rsidRPr="00691D88">
        <w:rPr>
          <w:rStyle w:val="a4"/>
          <w:i w:val="0"/>
          <w:sz w:val="24"/>
          <w:szCs w:val="24"/>
          <w:lang w:val="el-GR"/>
        </w:rPr>
        <w:t xml:space="preserve"> Λυκείων σε </w:t>
      </w:r>
      <w:proofErr w:type="spellStart"/>
      <w:r w:rsidRPr="00691D88">
        <w:rPr>
          <w:rStyle w:val="a4"/>
          <w:i w:val="0"/>
          <w:sz w:val="24"/>
          <w:szCs w:val="24"/>
          <w:lang w:val="el-GR"/>
        </w:rPr>
        <w:t>Ωνάσεια</w:t>
      </w:r>
      <w:proofErr w:type="spellEnd"/>
      <w:r w:rsidRPr="00691D88">
        <w:rPr>
          <w:rStyle w:val="a4"/>
          <w:i w:val="0"/>
          <w:sz w:val="24"/>
          <w:szCs w:val="24"/>
          <w:lang w:val="el-GR"/>
        </w:rPr>
        <w:t xml:space="preserve"> στην Αττική, Θεσσαλονίκη, Κοζάνη και Ξάνθη</w:t>
      </w:r>
      <w:r>
        <w:rPr>
          <w:rStyle w:val="a4"/>
          <w:i w:val="0"/>
          <w:sz w:val="24"/>
          <w:szCs w:val="24"/>
          <w:lang w:val="el-GR"/>
        </w:rPr>
        <w:t xml:space="preserve"> θα επηρεάσει αρνητικά την </w:t>
      </w:r>
      <w:proofErr w:type="spellStart"/>
      <w:r>
        <w:rPr>
          <w:rStyle w:val="a4"/>
          <w:i w:val="0"/>
          <w:sz w:val="24"/>
          <w:szCs w:val="24"/>
          <w:lang w:val="el-GR"/>
        </w:rPr>
        <w:t>οργανικότητα</w:t>
      </w:r>
      <w:proofErr w:type="spellEnd"/>
      <w:r>
        <w:rPr>
          <w:rStyle w:val="a4"/>
          <w:i w:val="0"/>
          <w:sz w:val="24"/>
          <w:szCs w:val="24"/>
          <w:lang w:val="el-GR"/>
        </w:rPr>
        <w:t xml:space="preserve"> σε αυτές τις περιοχές.</w:t>
      </w:r>
    </w:p>
    <w:p w:rsidR="005F1256" w:rsidRPr="004B26B9" w:rsidRDefault="005F1256" w:rsidP="005F1256">
      <w:pPr>
        <w:spacing w:line="360" w:lineRule="auto"/>
        <w:jc w:val="both"/>
        <w:rPr>
          <w:sz w:val="24"/>
          <w:szCs w:val="24"/>
          <w:lang w:val="el-GR" w:eastAsia="el-GR"/>
        </w:rPr>
      </w:pPr>
      <w:r w:rsidRPr="004B26B9">
        <w:rPr>
          <w:sz w:val="24"/>
          <w:szCs w:val="24"/>
          <w:lang w:val="el-GR" w:eastAsia="el-GR"/>
        </w:rPr>
        <w:lastRenderedPageBreak/>
        <w:t xml:space="preserve">Μετά το πέρας της προθεσμίας υποβολής των αιτήσεων παραίτησης και των ανακλήσεων (11/03/2025), από τις 12 έως τις 14 Μαρτίου, οι Διευθύνσεις Εκπαίδευσης, ΔΔΕ και ΠΔΕ, θα κληθούν να δηλώσουν τα οργανικά τους κενά και πλεονάσματα στο ηλεκτρονικό σύστημα e </w:t>
      </w:r>
      <w:proofErr w:type="spellStart"/>
      <w:r w:rsidRPr="004B26B9">
        <w:rPr>
          <w:sz w:val="24"/>
          <w:szCs w:val="24"/>
          <w:lang w:val="el-GR" w:eastAsia="el-GR"/>
        </w:rPr>
        <w:t>datacenter</w:t>
      </w:r>
      <w:proofErr w:type="spellEnd"/>
      <w:r w:rsidRPr="004B26B9">
        <w:rPr>
          <w:sz w:val="24"/>
          <w:szCs w:val="24"/>
          <w:lang w:val="el-GR" w:eastAsia="el-GR"/>
        </w:rPr>
        <w:t xml:space="preserve">. Εντός της εβδομάδας 10 -14 Μαρτίου, το ΚΥΣΔΕ πρόκειται να συνεδριάσει και να αποφανθεί επί αμφισβητούμενων περιπτώσεων ως προς τη θεμελίωση δικαιώματος μετάθεσης. </w:t>
      </w:r>
    </w:p>
    <w:p w:rsidR="005F1256" w:rsidRDefault="005F1256" w:rsidP="005F1256">
      <w:pPr>
        <w:spacing w:line="360" w:lineRule="auto"/>
        <w:jc w:val="both"/>
        <w:rPr>
          <w:sz w:val="24"/>
          <w:szCs w:val="24"/>
          <w:lang w:val="el-GR" w:eastAsia="el-GR"/>
        </w:rPr>
      </w:pPr>
      <w:r w:rsidRPr="004B26B9">
        <w:rPr>
          <w:sz w:val="24"/>
          <w:szCs w:val="24"/>
          <w:lang w:val="el-GR" w:eastAsia="el-GR"/>
        </w:rPr>
        <w:t>Μετά τον έλεγχο από την αρμόδια υπηρεσία, το ΚΥΣΔΕ θα συνεδριάσει, πιθανά από 19 έως 21 Μαρτίου, για να αποφασίσει επί των οργανικών κενών και πλεονασμάτων βάσει των οποίων θα πραγματοποιηθούν οι φετινές μεταθέσεις και εν συνεχεία αυτές θα υπογραφούν και θα ανακοινωθούν. Αν δεν τηρηθεί αυτό το χρονοδιάγραμμα, οι συνεδριάσεις του ΚΥΣΔΕ, αντί για 19-21/03, θα πραγματοποιηθούν στις 26-27/03.</w:t>
      </w:r>
      <w:r>
        <w:rPr>
          <w:sz w:val="24"/>
          <w:szCs w:val="24"/>
          <w:lang w:val="el-GR" w:eastAsia="el-GR"/>
        </w:rPr>
        <w:t xml:space="preserve"> Επομένως, εκτιμώ ότι  οι φετινές μεταθέσεις πρόκειται να υπογραφούν και ανακοινωθούν είτε στις 21/03, είτε στις 28/03. Αίτημα μου προς το Υπουργείο θα είναι να ενημερωθούν όλοι/</w:t>
      </w:r>
      <w:proofErr w:type="spellStart"/>
      <w:r>
        <w:rPr>
          <w:sz w:val="24"/>
          <w:szCs w:val="24"/>
          <w:lang w:val="el-GR" w:eastAsia="el-GR"/>
        </w:rPr>
        <w:t>ολες</w:t>
      </w:r>
      <w:proofErr w:type="spellEnd"/>
      <w:r>
        <w:rPr>
          <w:sz w:val="24"/>
          <w:szCs w:val="24"/>
          <w:lang w:val="el-GR" w:eastAsia="el-GR"/>
        </w:rPr>
        <w:t xml:space="preserve"> οι μετατιθέμενοι/ες εκπαιδευτικοί μέσω </w:t>
      </w:r>
      <w:proofErr w:type="spellStart"/>
      <w:r>
        <w:rPr>
          <w:sz w:val="24"/>
          <w:szCs w:val="24"/>
          <w:lang w:eastAsia="el-GR"/>
        </w:rPr>
        <w:t>sms</w:t>
      </w:r>
      <w:proofErr w:type="spellEnd"/>
      <w:r>
        <w:rPr>
          <w:sz w:val="24"/>
          <w:szCs w:val="24"/>
          <w:lang w:val="el-GR" w:eastAsia="el-GR"/>
        </w:rPr>
        <w:t xml:space="preserve">, όπως άλλωστε γίνεται με τους διορισμούς και τις προσλήψεις.     </w:t>
      </w:r>
    </w:p>
    <w:p w:rsidR="00531C0E" w:rsidRDefault="00531C0E" w:rsidP="005F1256">
      <w:pPr>
        <w:spacing w:line="360" w:lineRule="auto"/>
        <w:jc w:val="both"/>
        <w:rPr>
          <w:sz w:val="24"/>
          <w:szCs w:val="24"/>
          <w:lang w:val="el-GR" w:eastAsia="el-GR"/>
        </w:rPr>
      </w:pPr>
    </w:p>
    <w:p w:rsidR="00531C0E" w:rsidRPr="004B26B9" w:rsidRDefault="00531C0E" w:rsidP="005F1256">
      <w:pPr>
        <w:spacing w:line="360" w:lineRule="auto"/>
        <w:jc w:val="both"/>
        <w:rPr>
          <w:sz w:val="24"/>
          <w:szCs w:val="24"/>
          <w:lang w:val="el-GR" w:eastAsia="el-GR"/>
        </w:rPr>
      </w:pPr>
    </w:p>
    <w:p w:rsidR="005F1256" w:rsidRDefault="00531C0E" w:rsidP="00B847FE">
      <w:pPr>
        <w:spacing w:line="360" w:lineRule="auto"/>
        <w:jc w:val="both"/>
        <w:rPr>
          <w:sz w:val="24"/>
          <w:szCs w:val="24"/>
          <w:lang w:val="el-GR" w:eastAsia="el-GR"/>
        </w:rPr>
      </w:pPr>
      <w:r w:rsidRPr="00531C0E">
        <w:rPr>
          <w:sz w:val="24"/>
          <w:szCs w:val="24"/>
          <w:lang w:val="el-GR" w:eastAsia="el-GR"/>
        </w:rPr>
        <w:drawing>
          <wp:inline distT="0" distB="0" distL="0" distR="0">
            <wp:extent cx="3040380" cy="1943100"/>
            <wp:effectExtent l="19050" t="0" r="7620" b="0"/>
            <wp:docPr id="2"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srcRect/>
                    <a:stretch>
                      <a:fillRect/>
                    </a:stretch>
                  </pic:blipFill>
                  <pic:spPr bwMode="auto">
                    <a:xfrm>
                      <a:off x="0" y="0"/>
                      <a:ext cx="3040380" cy="1943100"/>
                    </a:xfrm>
                    <a:prstGeom prst="rect">
                      <a:avLst/>
                    </a:prstGeom>
                    <a:noFill/>
                    <a:ln w="9525">
                      <a:noFill/>
                      <a:miter lim="800000"/>
                      <a:headEnd/>
                      <a:tailEnd/>
                    </a:ln>
                  </pic:spPr>
                </pic:pic>
              </a:graphicData>
            </a:graphic>
          </wp:inline>
        </w:drawing>
      </w:r>
    </w:p>
    <w:p w:rsidR="00B847FE" w:rsidRDefault="005F1256" w:rsidP="00B847FE">
      <w:pPr>
        <w:spacing w:line="360" w:lineRule="auto"/>
        <w:jc w:val="both"/>
        <w:rPr>
          <w:sz w:val="24"/>
          <w:szCs w:val="24"/>
          <w:lang w:val="el-GR" w:eastAsia="el-GR"/>
        </w:rPr>
      </w:pPr>
      <w:r>
        <w:rPr>
          <w:noProof/>
          <w:sz w:val="24"/>
          <w:szCs w:val="24"/>
          <w:lang w:val="el-GR" w:eastAsia="el-GR"/>
        </w:rPr>
        <w:lastRenderedPageBreak/>
        <w:drawing>
          <wp:inline distT="0" distB="0" distL="0" distR="0">
            <wp:extent cx="3040380" cy="7772400"/>
            <wp:effectExtent l="1905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40380" cy="7772400"/>
                    </a:xfrm>
                    <a:prstGeom prst="rect">
                      <a:avLst/>
                    </a:prstGeom>
                    <a:noFill/>
                    <a:ln w="9525">
                      <a:noFill/>
                      <a:miter lim="800000"/>
                      <a:headEnd/>
                      <a:tailEnd/>
                    </a:ln>
                  </pic:spPr>
                </pic:pic>
              </a:graphicData>
            </a:graphic>
          </wp:inline>
        </w:drawing>
      </w:r>
    </w:p>
    <w:p w:rsidR="00B847FE" w:rsidRDefault="00B847FE" w:rsidP="00B847FE">
      <w:pPr>
        <w:spacing w:line="360" w:lineRule="auto"/>
        <w:jc w:val="both"/>
        <w:rPr>
          <w:sz w:val="24"/>
          <w:szCs w:val="24"/>
          <w:lang w:val="el-GR" w:eastAsia="el-GR"/>
        </w:rPr>
      </w:pPr>
    </w:p>
    <w:p w:rsidR="00B847FE" w:rsidRPr="004B26B9" w:rsidRDefault="005F1256" w:rsidP="00B847FE">
      <w:pPr>
        <w:spacing w:line="360" w:lineRule="auto"/>
        <w:jc w:val="both"/>
        <w:rPr>
          <w:sz w:val="24"/>
          <w:szCs w:val="24"/>
          <w:lang w:val="el-GR" w:eastAsia="el-GR"/>
        </w:rPr>
      </w:pPr>
      <w:r>
        <w:rPr>
          <w:noProof/>
          <w:sz w:val="24"/>
          <w:szCs w:val="24"/>
          <w:lang w:val="el-GR" w:eastAsia="el-GR"/>
        </w:rPr>
        <w:lastRenderedPageBreak/>
        <w:drawing>
          <wp:inline distT="0" distB="0" distL="0" distR="0">
            <wp:extent cx="3009900" cy="4198620"/>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009900" cy="4198620"/>
                    </a:xfrm>
                    <a:prstGeom prst="rect">
                      <a:avLst/>
                    </a:prstGeom>
                    <a:noFill/>
                    <a:ln w="9525">
                      <a:noFill/>
                      <a:miter lim="800000"/>
                      <a:headEnd/>
                      <a:tailEnd/>
                    </a:ln>
                  </pic:spPr>
                </pic:pic>
              </a:graphicData>
            </a:graphic>
          </wp:inline>
        </w:drawing>
      </w:r>
    </w:p>
    <w:p w:rsidR="00B847FE" w:rsidRDefault="00B847FE" w:rsidP="00B847FE">
      <w:pPr>
        <w:spacing w:line="360" w:lineRule="auto"/>
        <w:jc w:val="both"/>
        <w:rPr>
          <w:i/>
          <w:sz w:val="24"/>
          <w:szCs w:val="24"/>
          <w:lang w:val="el-GR" w:eastAsia="el-GR"/>
        </w:rPr>
      </w:pPr>
    </w:p>
    <w:p w:rsidR="00B847FE" w:rsidRDefault="005F1256" w:rsidP="00B847FE">
      <w:pPr>
        <w:spacing w:line="360" w:lineRule="auto"/>
        <w:jc w:val="both"/>
        <w:rPr>
          <w:i/>
          <w:sz w:val="24"/>
          <w:szCs w:val="24"/>
          <w:lang w:val="el-GR" w:eastAsia="el-GR"/>
        </w:rPr>
      </w:pPr>
      <w:r>
        <w:rPr>
          <w:i/>
          <w:noProof/>
          <w:sz w:val="24"/>
          <w:szCs w:val="24"/>
          <w:lang w:val="el-GR" w:eastAsia="el-GR"/>
        </w:rPr>
        <w:lastRenderedPageBreak/>
        <w:drawing>
          <wp:inline distT="0" distB="0" distL="0" distR="0">
            <wp:extent cx="3124200" cy="4617720"/>
            <wp:effectExtent l="1905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124200" cy="4617720"/>
                    </a:xfrm>
                    <a:prstGeom prst="rect">
                      <a:avLst/>
                    </a:prstGeom>
                    <a:noFill/>
                    <a:ln w="9525">
                      <a:noFill/>
                      <a:miter lim="800000"/>
                      <a:headEnd/>
                      <a:tailEnd/>
                    </a:ln>
                  </pic:spPr>
                </pic:pic>
              </a:graphicData>
            </a:graphic>
          </wp:inline>
        </w:drawing>
      </w:r>
    </w:p>
    <w:p w:rsidR="00B847FE" w:rsidRDefault="005F1256" w:rsidP="00B847FE">
      <w:pPr>
        <w:spacing w:line="360" w:lineRule="auto"/>
        <w:jc w:val="both"/>
        <w:rPr>
          <w:i/>
          <w:sz w:val="24"/>
          <w:szCs w:val="24"/>
          <w:lang w:val="el-GR" w:eastAsia="el-GR"/>
        </w:rPr>
      </w:pPr>
      <w:r>
        <w:rPr>
          <w:i/>
          <w:noProof/>
          <w:sz w:val="24"/>
          <w:szCs w:val="24"/>
          <w:lang w:val="el-GR" w:eastAsia="el-GR"/>
        </w:rPr>
        <w:drawing>
          <wp:inline distT="0" distB="0" distL="0" distR="0">
            <wp:extent cx="3070860" cy="3307080"/>
            <wp:effectExtent l="1905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070860" cy="3307080"/>
                    </a:xfrm>
                    <a:prstGeom prst="rect">
                      <a:avLst/>
                    </a:prstGeom>
                    <a:noFill/>
                    <a:ln w="9525">
                      <a:noFill/>
                      <a:miter lim="800000"/>
                      <a:headEnd/>
                      <a:tailEnd/>
                    </a:ln>
                  </pic:spPr>
                </pic:pic>
              </a:graphicData>
            </a:graphic>
          </wp:inline>
        </w:drawing>
      </w:r>
    </w:p>
    <w:p w:rsidR="00B847FE" w:rsidRDefault="005F1256" w:rsidP="00B847FE">
      <w:pPr>
        <w:spacing w:line="360" w:lineRule="auto"/>
        <w:jc w:val="both"/>
        <w:rPr>
          <w:i/>
          <w:sz w:val="24"/>
          <w:szCs w:val="24"/>
          <w:lang w:val="el-GR" w:eastAsia="el-GR"/>
        </w:rPr>
      </w:pPr>
      <w:r>
        <w:rPr>
          <w:i/>
          <w:noProof/>
          <w:sz w:val="24"/>
          <w:szCs w:val="24"/>
          <w:lang w:val="el-GR" w:eastAsia="el-GR"/>
        </w:rPr>
        <w:lastRenderedPageBreak/>
        <w:drawing>
          <wp:inline distT="0" distB="0" distL="0" distR="0">
            <wp:extent cx="3048000" cy="4366260"/>
            <wp:effectExtent l="1905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3048000" cy="4366260"/>
                    </a:xfrm>
                    <a:prstGeom prst="rect">
                      <a:avLst/>
                    </a:prstGeom>
                    <a:noFill/>
                    <a:ln w="9525">
                      <a:noFill/>
                      <a:miter lim="800000"/>
                      <a:headEnd/>
                      <a:tailEnd/>
                    </a:ln>
                  </pic:spPr>
                </pic:pic>
              </a:graphicData>
            </a:graphic>
          </wp:inline>
        </w:drawing>
      </w:r>
    </w:p>
    <w:p w:rsidR="00B847FE" w:rsidRPr="004B26B9" w:rsidRDefault="00B847FE" w:rsidP="00B847FE">
      <w:pPr>
        <w:spacing w:line="360" w:lineRule="auto"/>
        <w:jc w:val="both"/>
        <w:rPr>
          <w:i/>
          <w:sz w:val="24"/>
          <w:szCs w:val="24"/>
          <w:lang w:val="el-GR" w:eastAsia="el-GR"/>
        </w:rPr>
      </w:pPr>
      <w:r w:rsidRPr="004B26B9">
        <w:rPr>
          <w:i/>
          <w:sz w:val="24"/>
          <w:szCs w:val="24"/>
          <w:lang w:val="el-GR" w:eastAsia="el-GR"/>
        </w:rPr>
        <w:t>Θα ήθελα να ευχαριστήσω τις/τους υπαλλήλους</w:t>
      </w:r>
      <w:r w:rsidR="00B818E3">
        <w:rPr>
          <w:i/>
          <w:sz w:val="24"/>
          <w:szCs w:val="24"/>
          <w:lang w:val="el-GR" w:eastAsia="el-GR"/>
        </w:rPr>
        <w:t xml:space="preserve"> της αρμόδιας υπηρεσίας για την </w:t>
      </w:r>
      <w:r w:rsidRPr="004B26B9">
        <w:rPr>
          <w:i/>
          <w:sz w:val="24"/>
          <w:szCs w:val="24"/>
          <w:lang w:val="el-GR" w:eastAsia="el-GR"/>
        </w:rPr>
        <w:t>παροχή των στοιχείων.</w:t>
      </w:r>
    </w:p>
    <w:p w:rsidR="00811671" w:rsidRDefault="00811671" w:rsidP="00811671">
      <w:pPr>
        <w:suppressAutoHyphens/>
        <w:rPr>
          <w:rFonts w:eastAsia="NSimSun"/>
          <w:kern w:val="2"/>
          <w:lang w:val="el-GR" w:eastAsia="zh-CN" w:bidi="hi-IN"/>
        </w:rPr>
      </w:pPr>
    </w:p>
    <w:p w:rsidR="000062F4" w:rsidRPr="005F1256" w:rsidRDefault="000062F4" w:rsidP="00811671">
      <w:pPr>
        <w:suppressAutoHyphens/>
        <w:ind w:left="5760" w:firstLine="720"/>
        <w:rPr>
          <w:rFonts w:eastAsia="NSimSun"/>
          <w:kern w:val="2"/>
          <w:sz w:val="24"/>
          <w:szCs w:val="24"/>
          <w:lang w:val="el-GR" w:eastAsia="zh-CN" w:bidi="hi-IN"/>
        </w:rPr>
      </w:pPr>
      <w:r w:rsidRPr="005F1256">
        <w:rPr>
          <w:rFonts w:eastAsia="NSimSun"/>
          <w:kern w:val="2"/>
          <w:sz w:val="24"/>
          <w:szCs w:val="24"/>
          <w:lang w:val="el-GR" w:eastAsia="zh-CN" w:bidi="hi-IN"/>
        </w:rPr>
        <w:t xml:space="preserve">Αθήνα, </w:t>
      </w:r>
      <w:r w:rsidR="00811671" w:rsidRPr="005F1256">
        <w:rPr>
          <w:rFonts w:eastAsia="NSimSun"/>
          <w:kern w:val="2"/>
          <w:sz w:val="24"/>
          <w:szCs w:val="24"/>
          <w:lang w:val="el-GR" w:eastAsia="zh-CN" w:bidi="hi-IN"/>
        </w:rPr>
        <w:t>24</w:t>
      </w:r>
      <w:r w:rsidRPr="005F1256">
        <w:rPr>
          <w:rFonts w:eastAsia="NSimSun"/>
          <w:kern w:val="2"/>
          <w:sz w:val="24"/>
          <w:szCs w:val="24"/>
          <w:lang w:val="el-GR" w:eastAsia="zh-CN" w:bidi="hi-IN"/>
        </w:rPr>
        <w:t>/02/2025</w:t>
      </w:r>
    </w:p>
    <w:p w:rsidR="000062F4" w:rsidRPr="005F1256" w:rsidRDefault="000062F4" w:rsidP="000062F4">
      <w:pPr>
        <w:contextualSpacing/>
        <w:jc w:val="right"/>
        <w:rPr>
          <w:sz w:val="24"/>
          <w:szCs w:val="24"/>
          <w:lang w:val="el-GR"/>
        </w:rPr>
      </w:pPr>
      <w:r w:rsidRPr="005F1256">
        <w:rPr>
          <w:rFonts w:ascii="Liberation Serif" w:eastAsia="NSimSun" w:hAnsi="Liberation Serif" w:cs="Calibri"/>
          <w:bCs/>
          <w:color w:val="000000"/>
          <w:kern w:val="2"/>
          <w:sz w:val="24"/>
          <w:szCs w:val="24"/>
          <w:lang w:val="el-GR" w:eastAsia="zh-CN" w:bidi="hi-IN"/>
        </w:rPr>
        <w:t xml:space="preserve">   </w:t>
      </w:r>
      <w:r w:rsidRPr="005F1256">
        <w:rPr>
          <w:rFonts w:ascii="Liberation Serif" w:eastAsia="NSimSun" w:hAnsi="Liberation Serif" w:cs="Calibri"/>
          <w:bCs/>
          <w:color w:val="000000"/>
          <w:kern w:val="2"/>
          <w:sz w:val="24"/>
          <w:szCs w:val="24"/>
          <w:lang w:val="el-GR" w:eastAsia="zh-CN" w:bidi="hi-IN"/>
        </w:rPr>
        <w:tab/>
      </w:r>
      <w:r w:rsidRPr="005F1256">
        <w:rPr>
          <w:rFonts w:ascii="Liberation Serif" w:eastAsia="NSimSun" w:hAnsi="Liberation Serif" w:cs="Calibri"/>
          <w:bCs/>
          <w:color w:val="000000"/>
          <w:kern w:val="2"/>
          <w:sz w:val="24"/>
          <w:szCs w:val="24"/>
          <w:lang w:val="el-GR" w:eastAsia="zh-CN" w:bidi="hi-IN"/>
        </w:rPr>
        <w:tab/>
      </w:r>
      <w:r w:rsidRPr="005F1256">
        <w:rPr>
          <w:rFonts w:ascii="Liberation Serif" w:eastAsia="NSimSun" w:hAnsi="Liberation Serif" w:cs="Calibri"/>
          <w:bCs/>
          <w:color w:val="000000"/>
          <w:kern w:val="2"/>
          <w:sz w:val="24"/>
          <w:szCs w:val="24"/>
          <w:lang w:val="el-GR" w:eastAsia="zh-CN" w:bidi="hi-IN"/>
        </w:rPr>
        <w:tab/>
      </w:r>
      <w:r w:rsidRPr="005F1256">
        <w:rPr>
          <w:rFonts w:ascii="Liberation Serif" w:eastAsia="NSimSun" w:hAnsi="Liberation Serif" w:cs="Calibri"/>
          <w:bCs/>
          <w:color w:val="000000"/>
          <w:kern w:val="2"/>
          <w:sz w:val="24"/>
          <w:szCs w:val="24"/>
          <w:lang w:val="el-GR" w:eastAsia="zh-CN" w:bidi="hi-IN"/>
        </w:rPr>
        <w:tab/>
      </w:r>
      <w:r w:rsidRPr="005F1256">
        <w:rPr>
          <w:rFonts w:ascii="Liberation Serif" w:eastAsia="NSimSun" w:hAnsi="Liberation Serif" w:cs="Calibri"/>
          <w:bCs/>
          <w:color w:val="000000"/>
          <w:kern w:val="2"/>
          <w:sz w:val="24"/>
          <w:szCs w:val="24"/>
          <w:lang w:val="el-GR" w:eastAsia="zh-CN" w:bidi="hi-IN"/>
        </w:rPr>
        <w:tab/>
      </w:r>
      <w:r w:rsidRPr="005F1256">
        <w:rPr>
          <w:rFonts w:ascii="Liberation Serif" w:eastAsia="NSimSun" w:hAnsi="Liberation Serif" w:cs="Calibri"/>
          <w:bCs/>
          <w:color w:val="000000"/>
          <w:kern w:val="2"/>
          <w:sz w:val="24"/>
          <w:szCs w:val="24"/>
          <w:lang w:val="el-GR" w:eastAsia="zh-CN" w:bidi="hi-IN"/>
        </w:rPr>
        <w:tab/>
      </w:r>
      <w:r w:rsidRPr="005F1256">
        <w:rPr>
          <w:sz w:val="24"/>
          <w:szCs w:val="24"/>
          <w:lang w:val="el-GR"/>
        </w:rPr>
        <w:t>Με συναδελφικούς – αγωνιστικούς  χαιρετισμούς</w:t>
      </w:r>
    </w:p>
    <w:p w:rsidR="000062F4" w:rsidRPr="005F1256" w:rsidRDefault="000062F4" w:rsidP="000062F4">
      <w:pPr>
        <w:spacing w:before="11"/>
        <w:ind w:left="1440" w:firstLine="720"/>
        <w:contextualSpacing/>
        <w:jc w:val="both"/>
        <w:rPr>
          <w:rFonts w:eastAsia="Calibri"/>
          <w:b/>
          <w:sz w:val="24"/>
          <w:szCs w:val="24"/>
          <w:lang w:val="el-GR"/>
        </w:rPr>
      </w:pPr>
    </w:p>
    <w:p w:rsidR="000062F4" w:rsidRPr="005F1256" w:rsidRDefault="000062F4" w:rsidP="000062F4">
      <w:pPr>
        <w:spacing w:before="11"/>
        <w:ind w:left="5040" w:firstLine="720"/>
        <w:contextualSpacing/>
        <w:jc w:val="both"/>
        <w:rPr>
          <w:rFonts w:eastAsia="Calibri"/>
          <w:b/>
          <w:sz w:val="24"/>
          <w:szCs w:val="24"/>
          <w:lang w:val="el-GR"/>
        </w:rPr>
      </w:pPr>
      <w:r w:rsidRPr="005F1256">
        <w:rPr>
          <w:rFonts w:eastAsia="Calibri"/>
          <w:b/>
          <w:sz w:val="24"/>
          <w:szCs w:val="24"/>
          <w:lang w:val="el-GR"/>
        </w:rPr>
        <w:t xml:space="preserve">Θοδωρής </w:t>
      </w:r>
      <w:proofErr w:type="spellStart"/>
      <w:r w:rsidRPr="005F1256">
        <w:rPr>
          <w:rFonts w:eastAsia="Calibri"/>
          <w:b/>
          <w:sz w:val="24"/>
          <w:szCs w:val="24"/>
          <w:lang w:val="el-GR"/>
        </w:rPr>
        <w:t>Κατσωνόπουλος</w:t>
      </w:r>
      <w:proofErr w:type="spellEnd"/>
      <w:r w:rsidRPr="005F1256">
        <w:rPr>
          <w:rFonts w:eastAsia="Calibri"/>
          <w:b/>
          <w:sz w:val="24"/>
          <w:szCs w:val="24"/>
          <w:lang w:val="el-GR"/>
        </w:rPr>
        <w:t xml:space="preserve">  </w:t>
      </w:r>
    </w:p>
    <w:p w:rsidR="000062F4" w:rsidRPr="005F1256" w:rsidRDefault="000062F4" w:rsidP="000062F4">
      <w:pPr>
        <w:spacing w:before="11"/>
        <w:ind w:left="5040" w:firstLine="720"/>
        <w:contextualSpacing/>
        <w:jc w:val="both"/>
        <w:rPr>
          <w:rFonts w:eastAsia="Calibri"/>
          <w:bCs/>
          <w:sz w:val="24"/>
          <w:szCs w:val="24"/>
          <w:lang w:val="el-GR"/>
        </w:rPr>
      </w:pPr>
      <w:r w:rsidRPr="005F1256">
        <w:rPr>
          <w:rFonts w:eastAsia="Calibri"/>
          <w:sz w:val="24"/>
          <w:szCs w:val="24"/>
          <w:lang w:val="el-GR"/>
        </w:rPr>
        <w:t>Αιρετό μέλος του ΚΥΣΔΕ</w:t>
      </w:r>
    </w:p>
    <w:p w:rsidR="000062F4" w:rsidRPr="005F1256" w:rsidRDefault="000062F4" w:rsidP="00531C0E">
      <w:pPr>
        <w:spacing w:before="11"/>
        <w:ind w:left="4320" w:firstLine="720"/>
        <w:contextualSpacing/>
        <w:jc w:val="both"/>
        <w:rPr>
          <w:rFonts w:eastAsia="Calibri"/>
          <w:sz w:val="24"/>
          <w:szCs w:val="24"/>
          <w:lang w:val="el-GR"/>
        </w:rPr>
      </w:pPr>
      <w:proofErr w:type="spellStart"/>
      <w:r w:rsidRPr="005F1256">
        <w:rPr>
          <w:rFonts w:eastAsia="Calibri"/>
          <w:sz w:val="24"/>
          <w:szCs w:val="24"/>
          <w:lang w:val="el-GR"/>
        </w:rPr>
        <w:t>Τηλ</w:t>
      </w:r>
      <w:proofErr w:type="spellEnd"/>
      <w:r w:rsidRPr="005F1256">
        <w:rPr>
          <w:rFonts w:eastAsia="Calibri"/>
          <w:sz w:val="24"/>
          <w:szCs w:val="24"/>
          <w:lang w:val="el-GR"/>
        </w:rPr>
        <w:t>: 6932749571</w:t>
      </w:r>
    </w:p>
    <w:p w:rsidR="000062F4" w:rsidRPr="005F1256" w:rsidRDefault="000062F4" w:rsidP="00531C0E">
      <w:pPr>
        <w:spacing w:before="11"/>
        <w:ind w:left="5040"/>
        <w:contextualSpacing/>
        <w:jc w:val="both"/>
        <w:rPr>
          <w:rFonts w:eastAsia="Calibri"/>
          <w:b/>
          <w:sz w:val="24"/>
          <w:szCs w:val="24"/>
          <w:lang w:val="el-GR"/>
        </w:rPr>
      </w:pPr>
      <w:proofErr w:type="gramStart"/>
      <w:r w:rsidRPr="005F1256">
        <w:rPr>
          <w:rFonts w:eastAsia="Calibri"/>
          <w:sz w:val="24"/>
          <w:szCs w:val="24"/>
        </w:rPr>
        <w:t>email</w:t>
      </w:r>
      <w:proofErr w:type="gramEnd"/>
      <w:r w:rsidRPr="005F1256">
        <w:rPr>
          <w:rFonts w:eastAsia="Calibri"/>
          <w:sz w:val="24"/>
          <w:szCs w:val="24"/>
          <w:lang w:val="el-GR"/>
        </w:rPr>
        <w:t>:</w:t>
      </w:r>
      <w:hyperlink r:id="rId11" w:history="1">
        <w:r w:rsidRPr="005F1256">
          <w:rPr>
            <w:rStyle w:val="-"/>
            <w:rFonts w:eastAsia="Calibri"/>
            <w:sz w:val="24"/>
            <w:szCs w:val="24"/>
          </w:rPr>
          <w:t>teokatso</w:t>
        </w:r>
        <w:r w:rsidRPr="005F1256">
          <w:rPr>
            <w:rStyle w:val="-"/>
            <w:rFonts w:eastAsia="Calibri"/>
            <w:sz w:val="24"/>
            <w:szCs w:val="24"/>
            <w:lang w:val="el-GR"/>
          </w:rPr>
          <w:t>24@</w:t>
        </w:r>
        <w:r w:rsidRPr="005F1256">
          <w:rPr>
            <w:rStyle w:val="-"/>
            <w:rFonts w:eastAsia="Calibri"/>
            <w:sz w:val="24"/>
            <w:szCs w:val="24"/>
          </w:rPr>
          <w:t>gmail</w:t>
        </w:r>
        <w:r w:rsidRPr="005F1256">
          <w:rPr>
            <w:rStyle w:val="-"/>
            <w:rFonts w:eastAsia="Calibri"/>
            <w:sz w:val="24"/>
            <w:szCs w:val="24"/>
            <w:lang w:val="el-GR"/>
          </w:rPr>
          <w:t>.</w:t>
        </w:r>
        <w:r w:rsidRPr="005F1256">
          <w:rPr>
            <w:rStyle w:val="-"/>
            <w:rFonts w:eastAsia="Calibri"/>
            <w:sz w:val="24"/>
            <w:szCs w:val="24"/>
          </w:rPr>
          <w:t>com</w:t>
        </w:r>
      </w:hyperlink>
      <w:r w:rsidRPr="005F1256">
        <w:rPr>
          <w:rFonts w:eastAsia="Calibri"/>
          <w:b/>
          <w:sz w:val="24"/>
          <w:szCs w:val="24"/>
          <w:lang w:val="el-GR"/>
        </w:rPr>
        <w:t xml:space="preserve">  </w:t>
      </w:r>
    </w:p>
    <w:p w:rsidR="000062F4" w:rsidRPr="005F1256" w:rsidRDefault="000062F4" w:rsidP="000062F4">
      <w:pPr>
        <w:spacing w:before="11"/>
        <w:contextualSpacing/>
        <w:rPr>
          <w:rFonts w:eastAsia="Calibri"/>
          <w:sz w:val="24"/>
          <w:szCs w:val="24"/>
          <w:lang w:val="el-GR"/>
        </w:rPr>
      </w:pPr>
    </w:p>
    <w:p w:rsidR="000062F4" w:rsidRPr="005F1256" w:rsidRDefault="000062F4" w:rsidP="000062F4">
      <w:pPr>
        <w:spacing w:before="39"/>
        <w:ind w:right="1349"/>
        <w:contextualSpacing/>
        <w:jc w:val="center"/>
        <w:rPr>
          <w:rFonts w:eastAsia="Calibri"/>
          <w:i/>
          <w:sz w:val="24"/>
          <w:szCs w:val="24"/>
          <w:u w:val="single"/>
          <w:lang w:val="el-GR"/>
        </w:rPr>
      </w:pPr>
      <w:r w:rsidRPr="005F1256">
        <w:rPr>
          <w:rFonts w:eastAsia="Calibri"/>
          <w:i/>
          <w:sz w:val="24"/>
          <w:szCs w:val="24"/>
          <w:u w:val="single"/>
          <w:lang w:val="el-GR"/>
        </w:rPr>
        <w:t xml:space="preserve">εκλεγμένος με το ψηφοδέλτιο  </w:t>
      </w:r>
      <w:r w:rsidRPr="005F1256">
        <w:rPr>
          <w:rFonts w:eastAsia="Calibri"/>
          <w:i/>
          <w:spacing w:val="2"/>
          <w:sz w:val="24"/>
          <w:szCs w:val="24"/>
          <w:u w:val="single"/>
          <w:lang w:val="el-GR"/>
        </w:rPr>
        <w:t>τ</w:t>
      </w:r>
      <w:r w:rsidRPr="005F1256">
        <w:rPr>
          <w:rFonts w:eastAsia="Calibri"/>
          <w:i/>
          <w:spacing w:val="1"/>
          <w:sz w:val="24"/>
          <w:szCs w:val="24"/>
          <w:u w:val="single"/>
          <w:lang w:val="el-GR"/>
        </w:rPr>
        <w:t>ω</w:t>
      </w:r>
      <w:r w:rsidRPr="005F1256">
        <w:rPr>
          <w:rFonts w:eastAsia="Calibri"/>
          <w:i/>
          <w:sz w:val="24"/>
          <w:szCs w:val="24"/>
          <w:u w:val="single"/>
          <w:lang w:val="el-GR"/>
        </w:rPr>
        <w:t>ν</w:t>
      </w:r>
    </w:p>
    <w:p w:rsidR="000062F4" w:rsidRPr="005F1256" w:rsidRDefault="000062F4" w:rsidP="000062F4">
      <w:pPr>
        <w:spacing w:before="39"/>
        <w:ind w:right="1349"/>
        <w:contextualSpacing/>
        <w:jc w:val="center"/>
        <w:rPr>
          <w:rFonts w:eastAsia="Calibri"/>
          <w:i/>
          <w:sz w:val="24"/>
          <w:szCs w:val="24"/>
          <w:u w:val="single"/>
          <w:lang w:val="el-GR"/>
        </w:rPr>
      </w:pPr>
      <w:r w:rsidRPr="005F1256">
        <w:rPr>
          <w:rFonts w:eastAsia="Calibri"/>
          <w:b/>
          <w:i/>
          <w:spacing w:val="-1"/>
          <w:sz w:val="24"/>
          <w:szCs w:val="24"/>
          <w:lang w:val="el-GR"/>
        </w:rPr>
        <w:t>Σ</w:t>
      </w:r>
      <w:r w:rsidRPr="005F1256">
        <w:rPr>
          <w:rFonts w:eastAsia="Calibri"/>
          <w:b/>
          <w:i/>
          <w:sz w:val="24"/>
          <w:szCs w:val="24"/>
          <w:lang w:val="el-GR"/>
        </w:rPr>
        <w:t>υ</w:t>
      </w:r>
      <w:r w:rsidRPr="005F1256">
        <w:rPr>
          <w:rFonts w:eastAsia="Calibri"/>
          <w:b/>
          <w:i/>
          <w:spacing w:val="1"/>
          <w:sz w:val="24"/>
          <w:szCs w:val="24"/>
          <w:lang w:val="el-GR"/>
        </w:rPr>
        <w:t>ν</w:t>
      </w:r>
      <w:r w:rsidRPr="005F1256">
        <w:rPr>
          <w:rFonts w:eastAsia="Calibri"/>
          <w:b/>
          <w:i/>
          <w:sz w:val="24"/>
          <w:szCs w:val="24"/>
          <w:lang w:val="el-GR"/>
        </w:rPr>
        <w:t>ε</w:t>
      </w:r>
      <w:r w:rsidRPr="005F1256">
        <w:rPr>
          <w:rFonts w:eastAsia="Calibri"/>
          <w:b/>
          <w:i/>
          <w:spacing w:val="1"/>
          <w:sz w:val="24"/>
          <w:szCs w:val="24"/>
          <w:lang w:val="el-GR"/>
        </w:rPr>
        <w:t>ρ</w:t>
      </w:r>
      <w:r w:rsidRPr="005F1256">
        <w:rPr>
          <w:rFonts w:eastAsia="Calibri"/>
          <w:b/>
          <w:i/>
          <w:sz w:val="24"/>
          <w:szCs w:val="24"/>
          <w:lang w:val="el-GR"/>
        </w:rPr>
        <w:t>γαζό</w:t>
      </w:r>
      <w:r w:rsidRPr="005F1256">
        <w:rPr>
          <w:rFonts w:eastAsia="Calibri"/>
          <w:b/>
          <w:i/>
          <w:spacing w:val="1"/>
          <w:sz w:val="24"/>
          <w:szCs w:val="24"/>
          <w:lang w:val="el-GR"/>
        </w:rPr>
        <w:t>μ</w:t>
      </w:r>
      <w:r w:rsidRPr="005F1256">
        <w:rPr>
          <w:rFonts w:eastAsia="Calibri"/>
          <w:b/>
          <w:i/>
          <w:sz w:val="24"/>
          <w:szCs w:val="24"/>
          <w:lang w:val="el-GR"/>
        </w:rPr>
        <w:t>ε</w:t>
      </w:r>
      <w:r w:rsidRPr="005F1256">
        <w:rPr>
          <w:rFonts w:eastAsia="Calibri"/>
          <w:b/>
          <w:i/>
          <w:spacing w:val="1"/>
          <w:sz w:val="24"/>
          <w:szCs w:val="24"/>
          <w:lang w:val="el-GR"/>
        </w:rPr>
        <w:t>ν</w:t>
      </w:r>
      <w:r w:rsidRPr="005F1256">
        <w:rPr>
          <w:rFonts w:eastAsia="Calibri"/>
          <w:b/>
          <w:i/>
          <w:spacing w:val="-1"/>
          <w:sz w:val="24"/>
          <w:szCs w:val="24"/>
          <w:lang w:val="el-GR"/>
        </w:rPr>
        <w:t>ω</w:t>
      </w:r>
      <w:r w:rsidRPr="005F1256">
        <w:rPr>
          <w:rFonts w:eastAsia="Calibri"/>
          <w:b/>
          <w:i/>
          <w:sz w:val="24"/>
          <w:szCs w:val="24"/>
          <w:lang w:val="el-GR"/>
        </w:rPr>
        <w:t>ν Εκπ</w:t>
      </w:r>
      <w:r w:rsidRPr="005F1256">
        <w:rPr>
          <w:rFonts w:eastAsia="Calibri"/>
          <w:b/>
          <w:i/>
          <w:spacing w:val="1"/>
          <w:sz w:val="24"/>
          <w:szCs w:val="24"/>
          <w:lang w:val="el-GR"/>
        </w:rPr>
        <w:t>α</w:t>
      </w:r>
      <w:r w:rsidRPr="005F1256">
        <w:rPr>
          <w:rFonts w:eastAsia="Calibri"/>
          <w:b/>
          <w:i/>
          <w:sz w:val="24"/>
          <w:szCs w:val="24"/>
          <w:lang w:val="el-GR"/>
        </w:rPr>
        <w:t>ιδευτι</w:t>
      </w:r>
      <w:r w:rsidRPr="005F1256">
        <w:rPr>
          <w:rFonts w:eastAsia="Calibri"/>
          <w:b/>
          <w:i/>
          <w:spacing w:val="2"/>
          <w:sz w:val="24"/>
          <w:szCs w:val="24"/>
          <w:lang w:val="el-GR"/>
        </w:rPr>
        <w:t>κ</w:t>
      </w:r>
      <w:r w:rsidRPr="005F1256">
        <w:rPr>
          <w:rFonts w:eastAsia="Calibri"/>
          <w:b/>
          <w:i/>
          <w:spacing w:val="-1"/>
          <w:sz w:val="24"/>
          <w:szCs w:val="24"/>
          <w:lang w:val="el-GR"/>
        </w:rPr>
        <w:t>ώ</w:t>
      </w:r>
      <w:r w:rsidRPr="005F1256">
        <w:rPr>
          <w:rFonts w:eastAsia="Calibri"/>
          <w:b/>
          <w:i/>
          <w:sz w:val="24"/>
          <w:szCs w:val="24"/>
          <w:lang w:val="el-GR"/>
        </w:rPr>
        <w:t>ν</w:t>
      </w:r>
      <w:r w:rsidRPr="005F1256">
        <w:rPr>
          <w:rFonts w:eastAsia="Calibri"/>
          <w:b/>
          <w:i/>
          <w:spacing w:val="-20"/>
          <w:sz w:val="24"/>
          <w:szCs w:val="24"/>
          <w:lang w:val="el-GR"/>
        </w:rPr>
        <w:t xml:space="preserve"> </w:t>
      </w:r>
      <w:r w:rsidRPr="005F1256">
        <w:rPr>
          <w:rFonts w:eastAsia="Calibri"/>
          <w:b/>
          <w:i/>
          <w:spacing w:val="1"/>
          <w:sz w:val="24"/>
          <w:szCs w:val="24"/>
          <w:lang w:val="el-GR"/>
        </w:rPr>
        <w:t>Κ</w:t>
      </w:r>
      <w:r w:rsidRPr="005F1256">
        <w:rPr>
          <w:rFonts w:eastAsia="Calibri"/>
          <w:b/>
          <w:i/>
          <w:spacing w:val="2"/>
          <w:sz w:val="24"/>
          <w:szCs w:val="24"/>
          <w:lang w:val="el-GR"/>
        </w:rPr>
        <w:t>ι</w:t>
      </w:r>
      <w:r w:rsidRPr="005F1256">
        <w:rPr>
          <w:rFonts w:eastAsia="Calibri"/>
          <w:b/>
          <w:i/>
          <w:sz w:val="24"/>
          <w:szCs w:val="24"/>
          <w:lang w:val="el-GR"/>
        </w:rPr>
        <w:t>νήσ</w:t>
      </w:r>
      <w:r w:rsidRPr="005F1256">
        <w:rPr>
          <w:rFonts w:eastAsia="Calibri"/>
          <w:b/>
          <w:i/>
          <w:spacing w:val="2"/>
          <w:sz w:val="24"/>
          <w:szCs w:val="24"/>
          <w:lang w:val="el-GR"/>
        </w:rPr>
        <w:t>ε</w:t>
      </w:r>
      <w:r w:rsidRPr="005F1256">
        <w:rPr>
          <w:rFonts w:eastAsia="Calibri"/>
          <w:b/>
          <w:i/>
          <w:spacing w:val="-1"/>
          <w:sz w:val="24"/>
          <w:szCs w:val="24"/>
          <w:lang w:val="el-GR"/>
        </w:rPr>
        <w:t>ω</w:t>
      </w:r>
      <w:r w:rsidRPr="005F1256">
        <w:rPr>
          <w:rFonts w:eastAsia="Calibri"/>
          <w:b/>
          <w:i/>
          <w:sz w:val="24"/>
          <w:szCs w:val="24"/>
          <w:lang w:val="el-GR"/>
        </w:rPr>
        <w:t>ν – ΣΥΝ.Ε.Κ.</w:t>
      </w:r>
    </w:p>
    <w:p w:rsidR="00BC10B6" w:rsidRPr="00811671" w:rsidRDefault="00BC10B6" w:rsidP="00BD0602">
      <w:pPr>
        <w:spacing w:line="360" w:lineRule="auto"/>
        <w:jc w:val="both"/>
        <w:rPr>
          <w:lang w:val="el-GR"/>
        </w:rPr>
      </w:pPr>
    </w:p>
    <w:sectPr w:rsidR="00BC10B6" w:rsidRPr="00811671" w:rsidSect="0029078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Cambria"/>
    <w:charset w:val="A1"/>
    <w:family w:val="roman"/>
    <w:pitch w:val="variable"/>
    <w:sig w:usb0="E0000AFF" w:usb1="500078FF" w:usb2="00000021" w:usb3="00000000" w:csb0="000001B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35835"/>
    <w:multiLevelType w:val="hybridMultilevel"/>
    <w:tmpl w:val="50AC55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1D065AC"/>
    <w:multiLevelType w:val="hybridMultilevel"/>
    <w:tmpl w:val="EA7C56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58541D3"/>
    <w:multiLevelType w:val="hybridMultilevel"/>
    <w:tmpl w:val="1376DE1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nsid w:val="7A3E6B06"/>
    <w:multiLevelType w:val="hybridMultilevel"/>
    <w:tmpl w:val="AC129868"/>
    <w:lvl w:ilvl="0" w:tplc="BCCEE28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2EDD"/>
    <w:rsid w:val="000062F4"/>
    <w:rsid w:val="00012EFF"/>
    <w:rsid w:val="000164EA"/>
    <w:rsid w:val="000245B7"/>
    <w:rsid w:val="0007004B"/>
    <w:rsid w:val="000711C3"/>
    <w:rsid w:val="00072257"/>
    <w:rsid w:val="000A3BB9"/>
    <w:rsid w:val="000C2EDD"/>
    <w:rsid w:val="000D701E"/>
    <w:rsid w:val="00103861"/>
    <w:rsid w:val="00104CBA"/>
    <w:rsid w:val="00117CC7"/>
    <w:rsid w:val="00120C17"/>
    <w:rsid w:val="0012690A"/>
    <w:rsid w:val="0012706D"/>
    <w:rsid w:val="0015112C"/>
    <w:rsid w:val="00153E79"/>
    <w:rsid w:val="001612E8"/>
    <w:rsid w:val="00186E7C"/>
    <w:rsid w:val="00190015"/>
    <w:rsid w:val="0019264F"/>
    <w:rsid w:val="001C5011"/>
    <w:rsid w:val="001C6A67"/>
    <w:rsid w:val="002200C3"/>
    <w:rsid w:val="00232613"/>
    <w:rsid w:val="00233196"/>
    <w:rsid w:val="0025435F"/>
    <w:rsid w:val="00256832"/>
    <w:rsid w:val="00261F4C"/>
    <w:rsid w:val="0029078A"/>
    <w:rsid w:val="002948BE"/>
    <w:rsid w:val="002950DD"/>
    <w:rsid w:val="002A180D"/>
    <w:rsid w:val="002C610F"/>
    <w:rsid w:val="002D5761"/>
    <w:rsid w:val="002E51C0"/>
    <w:rsid w:val="002F31F4"/>
    <w:rsid w:val="002F7799"/>
    <w:rsid w:val="00356998"/>
    <w:rsid w:val="0037001B"/>
    <w:rsid w:val="003A21C7"/>
    <w:rsid w:val="003A4FD9"/>
    <w:rsid w:val="003A5A3F"/>
    <w:rsid w:val="003B6C91"/>
    <w:rsid w:val="003D346C"/>
    <w:rsid w:val="003E04A0"/>
    <w:rsid w:val="003E534F"/>
    <w:rsid w:val="003E747F"/>
    <w:rsid w:val="003F1BB4"/>
    <w:rsid w:val="003F2E3B"/>
    <w:rsid w:val="003F360F"/>
    <w:rsid w:val="00410EC5"/>
    <w:rsid w:val="00417892"/>
    <w:rsid w:val="00420BFB"/>
    <w:rsid w:val="00427E90"/>
    <w:rsid w:val="0044603D"/>
    <w:rsid w:val="00447375"/>
    <w:rsid w:val="004506B5"/>
    <w:rsid w:val="004663FE"/>
    <w:rsid w:val="004908E3"/>
    <w:rsid w:val="004A17BA"/>
    <w:rsid w:val="004A2337"/>
    <w:rsid w:val="004F68F8"/>
    <w:rsid w:val="0050267E"/>
    <w:rsid w:val="00531C0E"/>
    <w:rsid w:val="00566A37"/>
    <w:rsid w:val="00573F1B"/>
    <w:rsid w:val="005C0D9F"/>
    <w:rsid w:val="005E51E9"/>
    <w:rsid w:val="005F1256"/>
    <w:rsid w:val="00606A78"/>
    <w:rsid w:val="00622B7B"/>
    <w:rsid w:val="0063227A"/>
    <w:rsid w:val="00643875"/>
    <w:rsid w:val="00662DDF"/>
    <w:rsid w:val="00680018"/>
    <w:rsid w:val="00685BFA"/>
    <w:rsid w:val="006E2C05"/>
    <w:rsid w:val="006F1D73"/>
    <w:rsid w:val="007046D2"/>
    <w:rsid w:val="00721C30"/>
    <w:rsid w:val="007617DC"/>
    <w:rsid w:val="00771455"/>
    <w:rsid w:val="007759F3"/>
    <w:rsid w:val="007A3E6A"/>
    <w:rsid w:val="007C06E4"/>
    <w:rsid w:val="007C319C"/>
    <w:rsid w:val="007D207B"/>
    <w:rsid w:val="00803F2E"/>
    <w:rsid w:val="00806DE9"/>
    <w:rsid w:val="00811671"/>
    <w:rsid w:val="008230EC"/>
    <w:rsid w:val="00844D5D"/>
    <w:rsid w:val="00847CD5"/>
    <w:rsid w:val="00857133"/>
    <w:rsid w:val="00865F9F"/>
    <w:rsid w:val="00876619"/>
    <w:rsid w:val="008B659F"/>
    <w:rsid w:val="008C6002"/>
    <w:rsid w:val="008C76B2"/>
    <w:rsid w:val="008E0806"/>
    <w:rsid w:val="008E749A"/>
    <w:rsid w:val="008F4616"/>
    <w:rsid w:val="00906655"/>
    <w:rsid w:val="00917FFA"/>
    <w:rsid w:val="0092512E"/>
    <w:rsid w:val="00932EBE"/>
    <w:rsid w:val="00945B28"/>
    <w:rsid w:val="00990BF6"/>
    <w:rsid w:val="0099252C"/>
    <w:rsid w:val="00993C85"/>
    <w:rsid w:val="009D7322"/>
    <w:rsid w:val="00A0313C"/>
    <w:rsid w:val="00A032E5"/>
    <w:rsid w:val="00A06988"/>
    <w:rsid w:val="00A252B8"/>
    <w:rsid w:val="00A65500"/>
    <w:rsid w:val="00A65A37"/>
    <w:rsid w:val="00A87712"/>
    <w:rsid w:val="00AA6070"/>
    <w:rsid w:val="00AC3EF4"/>
    <w:rsid w:val="00AD270B"/>
    <w:rsid w:val="00AE1207"/>
    <w:rsid w:val="00B02EB9"/>
    <w:rsid w:val="00B1606D"/>
    <w:rsid w:val="00B17CB8"/>
    <w:rsid w:val="00B30811"/>
    <w:rsid w:val="00B54C41"/>
    <w:rsid w:val="00B818E3"/>
    <w:rsid w:val="00B847FE"/>
    <w:rsid w:val="00B907F9"/>
    <w:rsid w:val="00B9253B"/>
    <w:rsid w:val="00BB2825"/>
    <w:rsid w:val="00BC10B6"/>
    <w:rsid w:val="00BD0602"/>
    <w:rsid w:val="00BF7F95"/>
    <w:rsid w:val="00C20E07"/>
    <w:rsid w:val="00C2249B"/>
    <w:rsid w:val="00C316F9"/>
    <w:rsid w:val="00C330B2"/>
    <w:rsid w:val="00C453FF"/>
    <w:rsid w:val="00C51AF6"/>
    <w:rsid w:val="00C60E54"/>
    <w:rsid w:val="00C65BC8"/>
    <w:rsid w:val="00C72250"/>
    <w:rsid w:val="00CA2AF8"/>
    <w:rsid w:val="00CC1FDA"/>
    <w:rsid w:val="00CF5DCA"/>
    <w:rsid w:val="00D23511"/>
    <w:rsid w:val="00D25387"/>
    <w:rsid w:val="00D3039A"/>
    <w:rsid w:val="00D31433"/>
    <w:rsid w:val="00D3456E"/>
    <w:rsid w:val="00D424A9"/>
    <w:rsid w:val="00D506E9"/>
    <w:rsid w:val="00D543D4"/>
    <w:rsid w:val="00D65D64"/>
    <w:rsid w:val="00D7109A"/>
    <w:rsid w:val="00D75038"/>
    <w:rsid w:val="00D9424D"/>
    <w:rsid w:val="00D95A9D"/>
    <w:rsid w:val="00DC31F2"/>
    <w:rsid w:val="00DD43C8"/>
    <w:rsid w:val="00DE2E41"/>
    <w:rsid w:val="00DE53F9"/>
    <w:rsid w:val="00DF7016"/>
    <w:rsid w:val="00E02FEB"/>
    <w:rsid w:val="00E26297"/>
    <w:rsid w:val="00E55949"/>
    <w:rsid w:val="00E72A7B"/>
    <w:rsid w:val="00E90704"/>
    <w:rsid w:val="00E91A52"/>
    <w:rsid w:val="00EB0052"/>
    <w:rsid w:val="00EB4B6D"/>
    <w:rsid w:val="00EC35AB"/>
    <w:rsid w:val="00EC7866"/>
    <w:rsid w:val="00F373B2"/>
    <w:rsid w:val="00F73B6C"/>
    <w:rsid w:val="00F7783C"/>
    <w:rsid w:val="00F8667E"/>
    <w:rsid w:val="00FE6803"/>
    <w:rsid w:val="00FF77B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EDD"/>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3F9"/>
    <w:pPr>
      <w:ind w:left="720"/>
      <w:contextualSpacing/>
    </w:pPr>
  </w:style>
  <w:style w:type="character" w:styleId="-">
    <w:name w:val="Hyperlink"/>
    <w:uiPriority w:val="99"/>
    <w:unhideWhenUsed/>
    <w:rsid w:val="000062F4"/>
    <w:rPr>
      <w:color w:val="0000FF"/>
      <w:u w:val="single"/>
    </w:rPr>
  </w:style>
  <w:style w:type="character" w:styleId="a4">
    <w:name w:val="Emphasis"/>
    <w:uiPriority w:val="20"/>
    <w:qFormat/>
    <w:rsid w:val="00B847FE"/>
    <w:rPr>
      <w:i/>
      <w:iCs/>
    </w:rPr>
  </w:style>
  <w:style w:type="paragraph" w:styleId="a5">
    <w:name w:val="Balloon Text"/>
    <w:basedOn w:val="a"/>
    <w:link w:val="Char"/>
    <w:uiPriority w:val="99"/>
    <w:semiHidden/>
    <w:unhideWhenUsed/>
    <w:rsid w:val="005F125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F125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42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teokatso24@gmail.com"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479</Words>
  <Characters>2590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Πηνελόπη Αργυροπούλου</dc:creator>
  <cp:lastModifiedBy>ΘΟΔΩΡΗΣ ΚΑΤΣΩΝΟΠΟΥΛΟΣ</cp:lastModifiedBy>
  <cp:revision>3</cp:revision>
  <dcterms:created xsi:type="dcterms:W3CDTF">2025-02-24T11:50:00Z</dcterms:created>
  <dcterms:modified xsi:type="dcterms:W3CDTF">2025-02-24T11:51:00Z</dcterms:modified>
</cp:coreProperties>
</file>